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Comunicat de presă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Timișoara, 7 decembrie 2020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Teatrul ca rezistență: Lansăm un nou Fanzin și un film de animație  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Proiectul </w:t>
      </w:r>
      <w:r w:rsidDel="00000000" w:rsidR="00000000" w:rsidRPr="00000000">
        <w:rPr>
          <w:b w:val="1"/>
          <w:rtl w:val="0"/>
        </w:rPr>
        <w:t xml:space="preserve">Teatrul ca Rezistență</w:t>
      </w:r>
      <w:r w:rsidDel="00000000" w:rsidR="00000000" w:rsidRPr="00000000">
        <w:rPr>
          <w:rtl w:val="0"/>
        </w:rPr>
        <w:t xml:space="preserve"> își propune să creeze o punte de comunicare între generații prezentând în premieră filmul de animație </w:t>
      </w:r>
      <w:r w:rsidDel="00000000" w:rsidR="00000000" w:rsidRPr="00000000">
        <w:rPr>
          <w:i w:val="1"/>
          <w:rtl w:val="0"/>
        </w:rPr>
        <w:t xml:space="preserve">Cenzură</w:t>
      </w:r>
      <w:r w:rsidDel="00000000" w:rsidR="00000000" w:rsidRPr="00000000">
        <w:rPr>
          <w:rtl w:val="0"/>
        </w:rPr>
        <w:t xml:space="preserve">, realizat de artista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Laura Pop</w:t>
        </w:r>
      </w:hyperlink>
      <w:r w:rsidDel="00000000" w:rsidR="00000000" w:rsidRPr="00000000">
        <w:rPr>
          <w:rtl w:val="0"/>
        </w:rPr>
        <w:t xml:space="preserve"> care urmărește să surprindă complexitatea lucrurilor simple și multitudinea perspectivelor prin creațiile sale.  În filmul de animație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Cenzură </w:t>
        </w:r>
      </w:hyperlink>
      <w:r w:rsidDel="00000000" w:rsidR="00000000" w:rsidRPr="00000000">
        <w:rPr>
          <w:rtl w:val="0"/>
        </w:rPr>
        <w:t xml:space="preserve">este ilustrată esența anilor marcați de control și supraveghere. Vă invităm să  vizionați filmul pe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Canalul de Youtube</w:t>
        </w:r>
      </w:hyperlink>
      <w:r w:rsidDel="00000000" w:rsidR="00000000" w:rsidRPr="00000000">
        <w:rPr>
          <w:rtl w:val="0"/>
        </w:rPr>
        <w:t xml:space="preserve"> Teatrul ca Rezistență și pe pagina de Facebook a proiectului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Theater as Resistance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În același timp, lansăm și numărul 5 al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Fanzinului Teatrul ca Rezistență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dedicat de această dată teatrului independent din România, în speranța de a atrage atenția asupra celei mai inovatoare zone de creație teatrală, aflată în acest an într-o profundă criză. Acest număr se dorește a fi și un instrument de sensibilizare și advocacy. </w:t>
      </w:r>
      <w:r w:rsidDel="00000000" w:rsidR="00000000" w:rsidRPr="00000000">
        <w:rPr>
          <w:rtl w:val="0"/>
        </w:rPr>
        <w:t xml:space="preserve">Fanzinul va fi prezentat factorilor de decizie de la Ministerul Culturii, primarilor și șefilor de consilii județene, scopul acestui demers fiind acela de a contribui la salvarea, măcar în ultima clipă, a companiilor independente de teatru din România.</w:t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i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31f20"/>
          <w:sz w:val="20"/>
          <w:szCs w:val="20"/>
          <w:highlight w:val="white"/>
          <w:rtl w:val="0"/>
        </w:rPr>
        <w:t xml:space="preserve">Laura Pop este regizoare de film de animație și animatoare premiată din Sibiu, România. A studiat scenografia la UNATC, la ENSAD Paris, și a absolvit masteratul de film de animație din cadrul UNATC în 2018. După lansarea filmului de absolvire Monstrul, premiat la festivaluri din țară și din străinătate, a lucrat ca stagiar în studioul belgian Camera-etc, unde a regizat și animat al doilea scurtmetraj, Miroir. Laura și-a continuat cariera artistică cu documentarul animat Moarte și a lucrat la diverse proiecte de animație atât în teatru, cât și în film.</w:t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  <w:color w:val="1d2228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Teatrul ca Rezistență este un proiect realizat de </w:t>
      </w:r>
      <w:hyperlink r:id="rId11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Asociația Timișoara 2023 – Capitală Europeană a Culturii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parte a proiectului european Heritage Contact Zone, co-finanțat prin programul Europa Creativă, cu sprijinul Primăriei Municipiului Timișoara și al Consiliului Local, prin intermediul programului cultural prioritar ”Timișoara, Capitală Europeană a Culturii 2023”, parte a Programului Cultural TM2023 din anul 2019.</w:t>
      </w:r>
    </w:p>
    <w:p w:rsidR="00000000" w:rsidDel="00000000" w:rsidP="00000000" w:rsidRDefault="00000000" w:rsidRPr="00000000" w14:paraId="0000000C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Proiectul este co-produs cu </w:t>
      </w:r>
      <w:hyperlink r:id="rId12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Auăleu Teatru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(Timișoara), care lucrează în strânsă asociere cu instituțiile teatrale majore ale orașului: Teatrul Național din Timișoara, Teatrul Maghiar ”Csiky Gergely”, Teatrul German de Stat, Teatrul Thespis, Teatrul pentru copii și tineret Merlin.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hd w:fill="ffffff" w:val="clear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Timișoara 2021 – European Capital of Culture</w:t>
    </w:r>
  </w:p>
  <w:p w:rsidR="00000000" w:rsidDel="00000000" w:rsidP="00000000" w:rsidRDefault="00000000" w:rsidRPr="00000000" w14:paraId="00000010">
    <w:pPr>
      <w:shd w:fill="ffffff" w:val="clear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Theresia Bastion Str. Popa </w:t>
    </w:r>
    <w:r w:rsidDel="00000000" w:rsidR="00000000" w:rsidRPr="00000000">
      <w:rPr>
        <w:sz w:val="14"/>
        <w:szCs w:val="14"/>
        <w:rtl w:val="0"/>
      </w:rPr>
      <w:t xml:space="preserve">Șapcă</w:t>
    </w:r>
    <w:r w:rsidDel="00000000" w:rsidR="00000000" w:rsidRPr="00000000">
      <w:rPr>
        <w:sz w:val="14"/>
        <w:szCs w:val="14"/>
        <w:rtl w:val="0"/>
      </w:rPr>
      <w:t xml:space="preserve">, 4, Traveea A1.15, 30054, Timișoara</w:t>
    </w:r>
  </w:p>
  <w:p w:rsidR="00000000" w:rsidDel="00000000" w:rsidP="00000000" w:rsidRDefault="00000000" w:rsidRPr="00000000" w14:paraId="00000011">
    <w:pPr>
      <w:tabs>
        <w:tab w:val="left" w:pos="-720"/>
      </w:tabs>
      <w:jc w:val="center"/>
      <w:rPr/>
    </w:pPr>
    <w:hyperlink r:id="rId1">
      <w:r w:rsidDel="00000000" w:rsidR="00000000" w:rsidRPr="00000000">
        <w:rPr>
          <w:color w:val="1155cc"/>
          <w:sz w:val="14"/>
          <w:szCs w:val="14"/>
          <w:highlight w:val="white"/>
          <w:u w:val="single"/>
          <w:rtl w:val="0"/>
        </w:rPr>
        <w:t xml:space="preserve">www.timisoara2021.ro</w:t>
      </w:r>
    </w:hyperlink>
    <w:r w:rsidDel="00000000" w:rsidR="00000000" w:rsidRPr="00000000">
      <w:rPr>
        <w:color w:val="222222"/>
        <w:sz w:val="14"/>
        <w:szCs w:val="14"/>
        <w:highlight w:val="white"/>
        <w:rtl w:val="0"/>
      </w:rPr>
      <w:t xml:space="preserve"> 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4"/>
          <w:szCs w:val="14"/>
          <w:u w:val="single"/>
          <w:rtl w:val="0"/>
        </w:rPr>
        <w:t xml:space="preserve">contact@timisoara2021.ro</w:t>
      </w:r>
    </w:hyperlink>
    <w:r w:rsidDel="00000000" w:rsidR="00000000" w:rsidRPr="00000000">
      <w:rPr>
        <w:rFonts w:ascii="Calibri" w:cs="Calibri" w:eastAsia="Calibri" w:hAnsi="Calibri"/>
        <w:color w:val="231f20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-342899</wp:posOffset>
          </wp:positionV>
          <wp:extent cx="2077571" cy="1471613"/>
          <wp:effectExtent b="0" l="0" r="0" t="0"/>
          <wp:wrapSquare wrapText="bothSides" distB="114300" distT="114300" distL="114300" distR="11430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571" cy="1471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2152650</wp:posOffset>
          </wp:positionH>
          <wp:positionV relativeFrom="page">
            <wp:posOffset>485775</wp:posOffset>
          </wp:positionV>
          <wp:extent cx="975561" cy="6619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561" cy="661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0" distT="0" distL="0" distR="0">
          <wp:extent cx="1025853" cy="7096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853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-114299</wp:posOffset>
          </wp:positionV>
          <wp:extent cx="1176338" cy="809798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8097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imisoara2021.ro/ro/" TargetMode="External"/><Relationship Id="rId10" Type="http://schemas.openxmlformats.org/officeDocument/2006/relationships/hyperlink" Target="https://timisoara2021.ro/documents/131/Fanzin_TCR_2_2020.pdf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www.facebook.com/aualeu.teat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heaterasresistance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lauradod.weebly.com/about.html" TargetMode="External"/><Relationship Id="rId7" Type="http://schemas.openxmlformats.org/officeDocument/2006/relationships/hyperlink" Target="https://youtu.be/9tbCGk62RPQ" TargetMode="External"/><Relationship Id="rId8" Type="http://schemas.openxmlformats.org/officeDocument/2006/relationships/hyperlink" Target="https://www.youtube.com/channel/UCA0SsMwThVo97fykPEsiwqw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imisoara2021.ro/" TargetMode="External"/><Relationship Id="rId2" Type="http://schemas.openxmlformats.org/officeDocument/2006/relationships/hyperlink" Target="mailto:contact@timisoara2021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